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rial" w:cs="Arial" w:eastAsia="Arial" w:hAnsi="Arial"/>
          <w:b w:val="1"/>
          <w:smallCaps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mallCaps w:val="1"/>
          <w:rtl w:val="0"/>
        </w:rPr>
        <w:t xml:space="preserve">MATRIZ DE PLANEJAMENTO E PROCEDIMENTOS</w:t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50.0" w:type="dxa"/>
        <w:jc w:val="left"/>
        <w:tblInd w:w="-5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25"/>
        <w:gridCol w:w="11625"/>
        <w:tblGridChange w:id="0">
          <w:tblGrid>
            <w:gridCol w:w="2925"/>
            <w:gridCol w:w="1162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96093749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0" w:line="240" w:lineRule="auto"/>
        <w:jc w:val="left"/>
        <w:rPr>
          <w:rFonts w:ascii="Arial" w:cs="Arial" w:eastAsia="Arial" w:hAnsi="Arial"/>
          <w:b w:val="1"/>
          <w:smallCaps w:val="1"/>
        </w:rPr>
      </w:pPr>
      <w:bookmarkStart w:colFirst="0" w:colLast="0" w:name="_heading=h.labot9pmqpoi" w:id="1"/>
      <w:bookmarkEnd w:id="1"/>
      <w:r w:rsidDel="00000000" w:rsidR="00000000" w:rsidRPr="00000000">
        <w:rPr>
          <w:rtl w:val="0"/>
        </w:rPr>
      </w:r>
    </w:p>
    <w:tbl>
      <w:tblPr>
        <w:tblStyle w:val="Table2"/>
        <w:tblW w:w="14565.0" w:type="dxa"/>
        <w:jc w:val="left"/>
        <w:tblInd w:w="-5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480"/>
        <w:gridCol w:w="105"/>
        <w:gridCol w:w="1290"/>
        <w:gridCol w:w="1815"/>
        <w:gridCol w:w="2070"/>
        <w:gridCol w:w="1560"/>
        <w:gridCol w:w="1860"/>
        <w:gridCol w:w="1560"/>
        <w:gridCol w:w="1845"/>
        <w:tblGridChange w:id="0">
          <w:tblGrid>
            <w:gridCol w:w="1980"/>
            <w:gridCol w:w="480"/>
            <w:gridCol w:w="105"/>
            <w:gridCol w:w="1290"/>
            <w:gridCol w:w="1815"/>
            <w:gridCol w:w="2070"/>
            <w:gridCol w:w="1560"/>
            <w:gridCol w:w="1860"/>
            <w:gridCol w:w="1560"/>
            <w:gridCol w:w="184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08">
            <w:pPr>
              <w:spacing w:before="12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OBJETIVOS</w:t>
            </w:r>
          </w:p>
        </w:tc>
        <w:tc>
          <w:tcPr>
            <w:gridSpan w:val="7"/>
            <w:tcBorders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 base nas informações propiciadas pela análise preliminar do objeto de auditoria, expresse, de forma clara e objetiva, aquilo que motivou a auditoria. A descrição do objetivo ou problema deve ser suficiente para nortear a concepção da auditoria. O essencial é que o tópico mais importante seja buscado, com base na avaliação prévia dos riscos mais significativos.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objetivo da auditoria (ou objetivos) deve ser definido de maneira razoavelmente detalhada para não deixar dúvidas sobre as questões que deverão ser respondidas. O objetivo do trabalho deve dar informação suficiente sobre o problema e o foco da auditoria, ser elaborado de forma a maximizar os benefícios e impactos da fiscalização e conter termos claros e simples)</w:t>
            </w:r>
          </w:p>
        </w:tc>
      </w:tr>
      <w:tr>
        <w:trPr>
          <w:cantSplit w:val="0"/>
          <w:trHeight w:val="314.477539062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567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QUESTÃO</w:t>
            </w:r>
          </w:p>
        </w:tc>
        <w:tc>
          <w:tcPr>
            <w:gridSpan w:val="3"/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INFORMAÇÕES REQUERIDAS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FONTES DE INFORMAÇÃO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2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DETALHAMENTO DO PROCEDIMENTO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LIMITAÇÕES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MEMBRO RESPONSÁVEL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PERÍODO</w:t>
            </w:r>
          </w:p>
        </w:tc>
        <w:tc>
          <w:tcPr>
            <w:tcBorders>
              <w:top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QUE A ANÁLISE VAI PERMITIR DIZER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Apresentar, em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 de perguntas, os diferentes aspectos que compõem o escopo da fiscalização 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que devem ser investigados com vistas à satisfação do objetivo.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fffff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São os documentos e/ou dados que os analistas entendem necessários e suficientes para responder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às questões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 auditoria.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Obs: Todas 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informações requeridas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devem conter a referência de numeração da coluna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“O que a análise vai permitir dizer”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para que seja possível identificar quais as informações serão necessárias para responder àquelas questões.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Identificar as fontes de cada item de informação requerida da coluna anterior.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Fontes são geralmente as  pessoa(s), físicas ou jurídicas, e os setores que fornecerão as informações requeridas, bem como os documentos, bancos de dados ou os sistemas de informação de onde as mesmas serão retiradas.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Descrever, detalhadamente, as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técnicas de coleta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dos dados que serão analisados, bem como 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métodos e técnicas de análise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desses mesmos dados, sempre buscando responder aos aspectos constantes da questão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P1.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P2.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P3.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Obs: Todos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os procedimentos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devem conter a referência de numeração da coluna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“O que a análise vai permitir dizer”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para que seja possível identificar quais serão necessários para responder àquelas questões.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Descrever as limitações inerentes à condução dos trabalhos. Exs.: dificuldade de acesso aos documentos ou banco de dados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Pessoa(s) da equipe encarregada(s) da execução de cada procedimento.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Obs: Na coluna membro responsável deverá ser referenciado o número do procedimento pelo qual cada analista será responsável (P1. P2. P3 etc..)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60"/>
              </w:tabs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2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Dia(s) em que o procedimento será executado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43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Esclarecer quais as conclusões ou resultados que podem ser alcançados ao final da análise, atentando para os objetivos do trabalho.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1.a)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1.b)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ind w:left="45" w:right="143" w:firstLine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1.c)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67">
            <w:pPr>
              <w:spacing w:after="0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8"/>
            <w:tcBorders>
              <w:top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9">
            <w:pPr>
              <w:spacing w:after="0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  <w:shd w:fill="ffffff" w:val="clear"/>
          </w:tcPr>
          <w:p w:rsidR="00000000" w:rsidDel="00000000" w:rsidP="00000000" w:rsidRDefault="00000000" w:rsidRPr="00000000" w14:paraId="00000071">
            <w:pPr>
              <w:spacing w:after="0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7E">
      <w:pPr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  <w:sectPr>
          <w:headerReference r:id="rId7" w:type="default"/>
          <w:footerReference r:id="rId8" w:type="default"/>
          <w:pgSz w:h="11906" w:w="16838" w:orient="landscape"/>
          <w:pgMar w:bottom="1134" w:top="1701" w:left="1701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Planejamento e Procedimentos</w:t>
      </w:r>
    </w:p>
    <w:p w:rsidR="00000000" w:rsidDel="00000000" w:rsidP="00000000" w:rsidRDefault="00000000" w:rsidRPr="00000000" w14:paraId="00000080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1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trabalho é possibilitar que os auditores planejem seu trabalho e assegurar que a auditoria seja conduzida de uma maneira eficiente e eficaz;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4">
            <w:pPr>
              <w:spacing w:after="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100/44-48</w:t>
            </w:r>
          </w:p>
          <w:p w:rsidR="00000000" w:rsidDel="00000000" w:rsidP="00000000" w:rsidRDefault="00000000" w:rsidRPr="00000000" w14:paraId="00000085">
            <w:pPr>
              <w:spacing w:after="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400/50-56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4000/101-178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7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8">
            <w:pPr>
              <w:spacing w:after="0" w:before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planejamento de uma auditoria específica envolve aspectos estratégicos e operacionais. Estrategicamente, o planejamento deve definir o escopo, os objetivos e a abordagem da auditoria. Os objetivos referem-se àquilo que a auditoria pretende alcançar. O escopo refere-se ao objeto e aos critérios que os auditores utilizarão para avaliar e relatar acerca do objeto, e está diretamente relacionado com os objetivos. A abordagem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descreverá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a natureza e extensão dos procedimentos a serem aplicados para reunir evidências de auditoria. A auditoria deve ser planejada para reduzir os riscos de auditoria a um nível aceitavelmente baixo. Operacionalmente, o planejamento implica estabelecer um cronograma para a auditoria e a definir a natureza, época e extensão dos procedimentos de auditoria. Durante o planejamento, os auditores devem designar os membros de suas equipes de modo apropriado e identificar outros recursos que possam ser necessários, tais como especialistas na matéria. O planejamento de auditoria deve ser responsivo a mudanças significativas nas circunstâncias e condições. É um processo iterativo que ocorre ao longo de toda a auditoria. (NBASP 100/48, 2017)</w:t>
            </w:r>
          </w:p>
          <w:p w:rsidR="00000000" w:rsidDel="00000000" w:rsidP="00000000" w:rsidRDefault="00000000" w:rsidRPr="00000000" w14:paraId="00000089">
            <w:pPr>
              <w:spacing w:after="0" w:before="20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equipe deve elaborar 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Matriz de Planejamento e Procedimentos, documento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no qual devem ser registrados os passos a serem realizados na fase de execução para que o objetivo da auditoria seja alcançado. A Matriz de Planejamento e Procedimentos deve: selecionar, de maneira prévia, as áreas ou questões mais relevantes da auditoria; dar foco ao trabalho de fiscalização; ampliar a possibilidade de se alcançar bons resultados com o trabalho; minimizar riscos de prorrogações na duração dos trabalhos e desgastes com as chefias; equacionar expectativas e evitar surpresas ao final da execução, facilitando a discussão do trabalho com as chefias em bases objetivas. É parte da realização da matriz, a elaboração/definição dos instrumentos de coleta de dados que serão utilizados durante a execução da auditoria, lembrando que cada técnica de coleta de dados – entrevista, questionário, grupo focal, observação direta, etc – possui um instrumento próprio, a ser desenhado de forma a garantir a obtenção de informações relevantes e suficientes para responder às questões de auditoria.</w:t>
            </w:r>
          </w:p>
          <w:p w:rsidR="00000000" w:rsidDel="00000000" w:rsidP="00000000" w:rsidRDefault="00000000" w:rsidRPr="00000000" w14:paraId="0000008A">
            <w:pPr>
              <w:spacing w:after="0" w:before="20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OBS.: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as decisões da equipe sobre natureza, época e extensão dos procedimentos de auditoria irão impactar nas evidências. Os procedimentos dependem da avaliação de riscos ou análise do problema (NBASP 100/49). Assim, ao iniciar a aplicação desses procedimentos, saindo da fase do planejamento e iniciando a de execução, o olhar deve ser voltado para os riscos de auditoria, que traz o seguinte conceito:</w:t>
            </w:r>
          </w:p>
          <w:p w:rsidR="00000000" w:rsidDel="00000000" w:rsidP="00000000" w:rsidRDefault="00000000" w:rsidRPr="00000000" w14:paraId="0000008B">
            <w:pPr>
              <w:spacing w:after="0" w:before="20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Nota 1: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 risco de auditoria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- é o risco de que o relatório de auditoria possa ser inadequado. O auditor executa procedimentos para reduzir ou administrar o risco de chegar a conclusões inapropriadas, reconhecendo que as limitações inerentes a todas as auditorias significam que uma auditoria nunca pode fornecer absoluta certeza da condição objeto. (NBASP 100/40 e 46; NBASP 400/46; NBASP 4000/52). Lidar com riscos de auditoria é parte integrante de todo o processo e da metodologia de auditoria. Os documentos de planejamento de auditoria devem indicar os possíveis ou conhecidos riscos do trabalho pretendido bem como mostrar como tais riscos serão tratados;</w:t>
            </w:r>
          </w:p>
          <w:p w:rsidR="00000000" w:rsidDel="00000000" w:rsidP="00000000" w:rsidRDefault="00000000" w:rsidRPr="00000000" w14:paraId="0000008C">
            <w:pPr>
              <w:spacing w:after="200" w:before="200" w:lineRule="auto"/>
              <w:jc w:val="both"/>
              <w:rPr>
                <w:rFonts w:ascii="Arial" w:cs="Arial" w:eastAsia="Arial" w:hAnsi="Arial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Nota 2: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highlight w:val="white"/>
                <w:rtl w:val="0"/>
              </w:rPr>
              <w:t xml:space="preserve">Com base na análise de risco, o auditor definirá o escopo, natureza dos procedimentos, bem como a quantidade de testes necessária para fornecer evidências da auditoria suficiente (quantidade) e apropriada (qualidade, relevância, válida e confiável).</w:t>
            </w:r>
          </w:p>
          <w:p w:rsidR="00000000" w:rsidDel="00000000" w:rsidP="00000000" w:rsidRDefault="00000000" w:rsidRPr="00000000" w14:paraId="0000008D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Ver páginas 71 a 89 do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0563c1"/>
                  <w:sz w:val="16"/>
                  <w:szCs w:val="16"/>
                  <w:u w:val="single"/>
                  <w:rtl w:val="0"/>
                </w:rPr>
                <w:t xml:space="preserve">Manual de Implementação das ISSAIs de Auditoria de Conformidade</w:t>
              </w:r>
            </w:hyperlink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para maiores orientações sobre o preenchimento deste papel de trabalho.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E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F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coordenador e o supervisor da equipe de auditoria precisam verificar se foram consideradas de maneira adequada todas as questões significativas para alcançar os objetivos da auditoria, permitindo que eles sejam alcançados. O planejamento da auditoria deve ser atualizado continuamente.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0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1">
            <w:pPr>
              <w:tabs>
                <w:tab w:val="center" w:leader="none" w:pos="4252"/>
                <w:tab w:val="right" w:leader="none" w:pos="8504"/>
              </w:tabs>
              <w:spacing w:after="0" w:before="58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tabela indicando o nome das pessoas que elaboraram e documentaram a matriz,, bem como seu(s) revisor(es) deverão ser preenchidas ao final. </w:t>
            </w:r>
          </w:p>
        </w:tc>
      </w:tr>
    </w:tbl>
    <w:p w:rsidR="00000000" w:rsidDel="00000000" w:rsidP="00000000" w:rsidRDefault="00000000" w:rsidRPr="00000000" w14:paraId="00000092">
      <w:pPr>
        <w:spacing w:after="0" w:lineRule="auto"/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3" w:top="1700" w:left="1700" w:right="1133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94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bookmarkStart w:colFirst="0" w:colLast="0" w:name="_heading=h.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5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96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97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9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9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4B4D5B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t-BR"/>
    </w:rPr>
  </w:style>
  <w:style w:type="character" w:styleId="CabealhoChar" w:customStyle="1">
    <w:name w:val="Cabeçalho Char"/>
    <w:link w:val="Cabealho"/>
    <w:uiPriority w:val="99"/>
    <w:rsid w:val="004B4D5B"/>
    <w:rPr>
      <w:rFonts w:eastAsia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4B4D5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 w:val="1"/>
    <w:rsid w:val="004B4D5B"/>
    <w:rPr>
      <w:rFonts w:ascii="Tahoma" w:cs="Tahoma" w:hAnsi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 w:val="1"/>
    <w:rsid w:val="004B4D5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4B4D5B"/>
  </w:style>
  <w:style w:type="table" w:styleId="Tabelacomgrade">
    <w:name w:val="Table Grid"/>
    <w:basedOn w:val="Tabelanormal"/>
    <w:uiPriority w:val="59"/>
    <w:rsid w:val="004B4D5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ntedodatabela" w:customStyle="1">
    <w:name w:val="Conteúdo da tabela"/>
    <w:basedOn w:val="Normal"/>
    <w:rsid w:val="004B4D5B"/>
    <w:pPr>
      <w:widowControl w:val="0"/>
      <w:suppressLineNumbers w:val="1"/>
      <w:suppressAutoHyphens w:val="1"/>
      <w:spacing w:after="0" w:line="240" w:lineRule="auto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Default" w:customStyle="1">
    <w:name w:val="Default"/>
    <w:basedOn w:val="Normal"/>
    <w:rsid w:val="00B719A9"/>
    <w:pPr>
      <w:widowControl w:val="0"/>
      <w:suppressAutoHyphens w:val="1"/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bidi="hi-IN" w:eastAsia="hi-IN"/>
    </w:r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903E46"/>
    <w:rPr>
      <w:sz w:val="20"/>
      <w:szCs w:val="20"/>
    </w:rPr>
  </w:style>
  <w:style w:type="character" w:styleId="TextodenotaderodapChar" w:customStyle="1">
    <w:name w:val="Texto de nota de rodapé Char"/>
    <w:link w:val="Textodenotaderodap"/>
    <w:uiPriority w:val="99"/>
    <w:semiHidden w:val="1"/>
    <w:rsid w:val="00903E46"/>
    <w:rPr>
      <w:lang w:eastAsia="en-US"/>
    </w:rPr>
  </w:style>
  <w:style w:type="character" w:styleId="Refdenotaderodap">
    <w:name w:val="footnote reference"/>
    <w:uiPriority w:val="99"/>
    <w:semiHidden w:val="1"/>
    <w:unhideWhenUsed w:val="1"/>
    <w:rsid w:val="00903E46"/>
    <w:rPr>
      <w:vertAlign w:val="superscript"/>
    </w:rPr>
  </w:style>
  <w:style w:type="paragraph" w:styleId="PargrafodaLista">
    <w:name w:val="List Paragraph"/>
    <w:basedOn w:val="Normal"/>
    <w:qFormat w:val="1"/>
    <w:rsid w:val="002C1BD6"/>
    <w:pPr>
      <w:ind w:left="720"/>
      <w:contextualSpacing w:val="1"/>
    </w:pPr>
  </w:style>
  <w:style w:type="paragraph" w:styleId="Textodenotadefim">
    <w:name w:val="endnote text"/>
    <w:basedOn w:val="Normal"/>
    <w:link w:val="TextodenotadefimChar"/>
    <w:uiPriority w:val="99"/>
    <w:semiHidden w:val="1"/>
    <w:unhideWhenUsed w:val="1"/>
    <w:rsid w:val="00394DD8"/>
    <w:rPr>
      <w:sz w:val="20"/>
      <w:szCs w:val="20"/>
    </w:rPr>
  </w:style>
  <w:style w:type="character" w:styleId="TextodenotadefimChar" w:customStyle="1">
    <w:name w:val="Texto de nota de fim Char"/>
    <w:link w:val="Textodenotadefim"/>
    <w:uiPriority w:val="99"/>
    <w:semiHidden w:val="1"/>
    <w:rsid w:val="00394DD8"/>
    <w:rPr>
      <w:lang w:eastAsia="en-US"/>
    </w:rPr>
  </w:style>
  <w:style w:type="character" w:styleId="Refdenotadefim">
    <w:name w:val="endnote reference"/>
    <w:uiPriority w:val="99"/>
    <w:semiHidden w:val="1"/>
    <w:unhideWhenUsed w:val="1"/>
    <w:rsid w:val="00394DD8"/>
    <w:rPr>
      <w:vertAlign w:val="superscript"/>
    </w:rPr>
  </w:style>
  <w:style w:type="character" w:styleId="Refdecomentrio">
    <w:name w:val="annotation reference"/>
    <w:uiPriority w:val="99"/>
    <w:semiHidden w:val="1"/>
    <w:unhideWhenUsed w:val="1"/>
    <w:rsid w:val="007243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 w:val="1"/>
    <w:rsid w:val="007243FE"/>
    <w:rPr>
      <w:sz w:val="20"/>
      <w:szCs w:val="20"/>
    </w:rPr>
  </w:style>
  <w:style w:type="character" w:styleId="TextodecomentrioChar" w:customStyle="1">
    <w:name w:val="Texto de comentário Char"/>
    <w:link w:val="Textodecomentrio"/>
    <w:uiPriority w:val="99"/>
    <w:rsid w:val="007243FE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7243FE"/>
    <w:rPr>
      <w:b w:val="1"/>
      <w:bCs w:val="1"/>
    </w:rPr>
  </w:style>
  <w:style w:type="character" w:styleId="AssuntodocomentrioChar" w:customStyle="1">
    <w:name w:val="Assunto do comentário Char"/>
    <w:link w:val="Assuntodocomentrio"/>
    <w:uiPriority w:val="99"/>
    <w:semiHidden w:val="1"/>
    <w:rsid w:val="007243FE"/>
    <w:rPr>
      <w:b w:val="1"/>
      <w:bCs w:val="1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rbcontas.org.br/wp-content/uploads/2023/11/Manual-de-Implementacao-das-ISSAIs-Auditoria-Conformidade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IgFJos8SzXZ7/Abe1cqLNIIwQ==">CgMxLjAyCGguZ2pkZ3hzMg5oLmxhYm90OXBtcXBvaTIIaC5namRneHM4AHIhMXZuei1kakJhTFNWUy1ZNXFhQTJ5MmN3aDI4MG1nVE9n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2024-02-28T19:06:00Z</dcterms:created>
  <dc:creator>Ana Paula de Araujo Rocha</dc:creator>
</cp:coreProperties>
</file>