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3" w:line="259" w:lineRule="auto"/>
        <w:ind w:left="521" w:firstLine="1418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3" w:line="259" w:lineRule="auto"/>
        <w:ind w:left="521" w:firstLine="1418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PORTARIA Nº &lt;@Indicador=Número do Documento&gt; - SEC-CEXTERNO </w:t>
      </w:r>
    </w:p>
    <w:p w:rsidR="00000000" w:rsidDel="00000000" w:rsidP="00000000" w:rsidRDefault="00000000" w:rsidRPr="00000000" w14:paraId="00000003">
      <w:pPr>
        <w:spacing w:after="23" w:line="259" w:lineRule="auto"/>
        <w:ind w:left="521" w:firstLine="1418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6" w:line="268" w:lineRule="auto"/>
        <w:ind w:left="5382" w:right="53" w:firstLine="0"/>
        <w:rPr/>
      </w:pPr>
      <w:r w:rsidDel="00000000" w:rsidR="00000000" w:rsidRPr="00000000">
        <w:rPr>
          <w:sz w:val="20"/>
          <w:szCs w:val="20"/>
          <w:rtl w:val="0"/>
        </w:rPr>
        <w:t xml:space="preserve">Designa equipe de fiscalização para realização de 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XXXXX</w:t>
      </w:r>
      <w:r w:rsidDel="00000000" w:rsidR="00000000" w:rsidRPr="00000000">
        <w:rPr>
          <w:sz w:val="20"/>
          <w:szCs w:val="20"/>
          <w:rtl w:val="0"/>
        </w:rPr>
        <w:t xml:space="preserve">, junto à 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XXXXX – XXXXX</w:t>
      </w:r>
      <w:r w:rsidDel="00000000" w:rsidR="00000000" w:rsidRPr="00000000">
        <w:rPr>
          <w:sz w:val="20"/>
          <w:szCs w:val="20"/>
          <w:rtl w:val="0"/>
        </w:rPr>
        <w:t xml:space="preserve">, no 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XXXXX</w:t>
      </w:r>
      <w:r w:rsidDel="00000000" w:rsidR="00000000" w:rsidRPr="00000000">
        <w:rPr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" w:line="259" w:lineRule="auto"/>
        <w:ind w:left="4236" w:firstLine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tabs>
          <w:tab w:val="center" w:leader="none" w:pos="1402"/>
          <w:tab w:val="center" w:leader="none" w:pos="2110"/>
          <w:tab w:val="right" w:leader="none" w:pos="9974"/>
        </w:tabs>
        <w:spacing w:line="268" w:lineRule="auto"/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O SECRETÁRIO DE CONTROLE EXTERNO, no uso de suas atribuições </w:t>
      </w:r>
    </w:p>
    <w:p w:rsidR="00000000" w:rsidDel="00000000" w:rsidP="00000000" w:rsidRDefault="00000000" w:rsidRPr="00000000" w14:paraId="00000007">
      <w:pPr>
        <w:ind w:left="-5" w:right="49" w:firstLine="1418"/>
        <w:rPr/>
      </w:pPr>
      <w:r w:rsidDel="00000000" w:rsidR="00000000" w:rsidRPr="00000000">
        <w:rPr>
          <w:rtl w:val="0"/>
        </w:rPr>
        <w:t xml:space="preserve">conferidas pela </w:t>
      </w: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Portaria nº 102/2023 – GPRES</w:t>
        </w:r>
      </w:hyperlink>
      <w:hyperlink r:id="rId8">
        <w:r w:rsidDel="00000000" w:rsidR="00000000" w:rsidRPr="00000000">
          <w:rPr>
            <w:rtl w:val="0"/>
          </w:rPr>
          <w:t xml:space="preserve">,</w:t>
        </w:r>
      </w:hyperlink>
      <w:r w:rsidDel="00000000" w:rsidR="00000000" w:rsidRPr="00000000">
        <w:rPr>
          <w:rtl w:val="0"/>
        </w:rPr>
        <w:t xml:space="preserve"> de 18 de janeiro de 2023,</w:t>
      </w:r>
    </w:p>
    <w:p w:rsidR="00000000" w:rsidDel="00000000" w:rsidP="00000000" w:rsidRDefault="00000000" w:rsidRPr="00000000" w14:paraId="00000008">
      <w:pPr>
        <w:tabs>
          <w:tab w:val="center" w:leader="none" w:pos="1402"/>
          <w:tab w:val="center" w:leader="none" w:pos="2110"/>
          <w:tab w:val="right" w:leader="none" w:pos="9974"/>
        </w:tabs>
        <w:spacing w:line="268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CONSIDERANDO o disposto no art. 248 do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Regimento Interno do Tribunal de Contas do Estado de Goiás</w:t>
        </w:r>
      </w:hyperlink>
      <w:r w:rsidDel="00000000" w:rsidR="00000000" w:rsidRPr="00000000">
        <w:rPr>
          <w:rtl w:val="0"/>
        </w:rPr>
        <w:t xml:space="preserve">, aprovado pela Resolução nº 22, de 4 de setembro de 2008;</w:t>
      </w:r>
      <w:hyperlink r:id="rId10">
        <w:r w:rsidDel="00000000" w:rsidR="00000000" w:rsidRPr="00000000">
          <w:rPr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5" w:right="49" w:firstLine="5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CONSIDERANDO a </w:t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Resolução Administrativa nº 13, de 14 de setembro</w:t>
        </w:r>
      </w:hyperlink>
      <w:hyperlink r:id="rId12">
        <w:r w:rsidDel="00000000" w:rsidR="00000000" w:rsidRPr="00000000">
          <w:rPr>
            <w:color w:val="0563c1"/>
            <w:rtl w:val="0"/>
          </w:rPr>
          <w:t xml:space="preserve"> </w:t>
        </w:r>
      </w:hyperlink>
      <w:hyperlink r:id="rId13">
        <w:r w:rsidDel="00000000" w:rsidR="00000000" w:rsidRPr="00000000">
          <w:rPr>
            <w:color w:val="0563c1"/>
            <w:u w:val="single"/>
            <w:rtl w:val="0"/>
          </w:rPr>
          <w:t xml:space="preserve">de 2023</w:t>
        </w:r>
      </w:hyperlink>
      <w:hyperlink r:id="rId14">
        <w:r w:rsidDel="00000000" w:rsidR="00000000" w:rsidRPr="00000000">
          <w:rPr>
            <w:rtl w:val="0"/>
          </w:rPr>
          <w:t xml:space="preserve">,</w:t>
        </w:r>
      </w:hyperlink>
      <w:r w:rsidDel="00000000" w:rsidR="00000000" w:rsidRPr="00000000">
        <w:rPr>
          <w:rtl w:val="0"/>
        </w:rPr>
        <w:t xml:space="preserve"> que instituiu o Sistema de Qualidade das Fiscalizações – SiQ no âmbito da Secretaria de Controle Externo deste Tribunal;</w:t>
      </w:r>
    </w:p>
    <w:p w:rsidR="00000000" w:rsidDel="00000000" w:rsidP="00000000" w:rsidRDefault="00000000" w:rsidRPr="00000000" w14:paraId="0000000A">
      <w:pPr>
        <w:spacing w:line="268" w:lineRule="auto"/>
        <w:ind w:left="0" w:right="51" w:firstLine="1418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CONSIDERANDO o Despacho nº </w:t>
      </w:r>
      <w:r w:rsidDel="00000000" w:rsidR="00000000" w:rsidRPr="00000000">
        <w:rPr>
          <w:color w:val="ff0000"/>
          <w:rtl w:val="0"/>
        </w:rPr>
        <w:t xml:space="preserve">XXX</w:t>
      </w:r>
      <w:r w:rsidDel="00000000" w:rsidR="00000000" w:rsidRPr="00000000">
        <w:rPr>
          <w:rtl w:val="0"/>
        </w:rPr>
        <w:t xml:space="preserve">/20</w:t>
      </w:r>
      <w:r w:rsidDel="00000000" w:rsidR="00000000" w:rsidRPr="00000000">
        <w:rPr>
          <w:color w:val="ff0000"/>
          <w:rtl w:val="0"/>
        </w:rPr>
        <w:t xml:space="preserve">XX</w:t>
      </w:r>
      <w:r w:rsidDel="00000000" w:rsidR="00000000" w:rsidRPr="00000000">
        <w:rPr>
          <w:rtl w:val="0"/>
        </w:rPr>
        <w:t xml:space="preserve"> – GC</w:t>
      </w:r>
      <w:r w:rsidDel="00000000" w:rsidR="00000000" w:rsidRPr="00000000">
        <w:rPr>
          <w:color w:val="ff0000"/>
          <w:rtl w:val="0"/>
        </w:rPr>
        <w:t xml:space="preserve">XX</w:t>
      </w:r>
      <w:r w:rsidDel="00000000" w:rsidR="00000000" w:rsidRPr="00000000">
        <w:rPr>
          <w:rtl w:val="0"/>
        </w:rPr>
        <w:t xml:space="preserve"> expedido pelo Conselheiro Relator </w:t>
      </w:r>
      <w:r w:rsidDel="00000000" w:rsidR="00000000" w:rsidRPr="00000000">
        <w:rPr>
          <w:color w:val="ff0000"/>
          <w:rtl w:val="0"/>
        </w:rPr>
        <w:t xml:space="preserve">XXXXX XXXXX</w:t>
      </w:r>
      <w:r w:rsidDel="00000000" w:rsidR="00000000" w:rsidRPr="00000000">
        <w:rPr>
          <w:rtl w:val="0"/>
        </w:rPr>
        <w:t xml:space="preserve">, nos autos </w:t>
      </w:r>
      <w:r w:rsidDel="00000000" w:rsidR="00000000" w:rsidRPr="00000000">
        <w:rPr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0B">
      <w:pPr>
        <w:ind w:left="-5" w:right="49" w:firstLine="5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CONSIDERANDO as competências profissionais necessárias para realizar a fiscalização,</w:t>
      </w:r>
    </w:p>
    <w:p w:rsidR="00000000" w:rsidDel="00000000" w:rsidP="00000000" w:rsidRDefault="00000000" w:rsidRPr="00000000" w14:paraId="0000000C">
      <w:pPr>
        <w:spacing w:after="33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tabs>
          <w:tab w:val="center" w:leader="none" w:pos="708"/>
          <w:tab w:val="center" w:leader="none" w:pos="1978"/>
        </w:tabs>
        <w:spacing w:after="23" w:line="259" w:lineRule="auto"/>
        <w:ind w:left="-15" w:firstLine="0"/>
        <w:jc w:val="left"/>
        <w:rPr/>
      </w:pPr>
      <w:r w:rsidDel="00000000" w:rsidR="00000000" w:rsidRPr="00000000">
        <w:rPr>
          <w:rtl w:val="0"/>
        </w:rPr>
        <w:t xml:space="preserve"> </w:t>
        <w:tab/>
        <w:t xml:space="preserve"> </w:t>
        <w:tab/>
      </w:r>
      <w:r w:rsidDel="00000000" w:rsidR="00000000" w:rsidRPr="00000000">
        <w:rPr>
          <w:b w:val="1"/>
          <w:rtl w:val="0"/>
        </w:rPr>
        <w:t xml:space="preserve">RESOLVE: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9" w:line="259" w:lineRule="auto"/>
        <w:ind w:left="0" w:firstLine="0"/>
        <w:jc w:val="left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68" w:lineRule="auto"/>
        <w:ind w:left="0" w:right="51" w:firstLine="21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Art.1º Designar os servidores </w:t>
      </w:r>
      <w:r w:rsidDel="00000000" w:rsidR="00000000" w:rsidRPr="00000000">
        <w:rPr>
          <w:b w:val="1"/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b w:val="1"/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, sob a </w:t>
      </w:r>
      <w:r w:rsidDel="00000000" w:rsidR="00000000" w:rsidRPr="00000000">
        <w:rPr>
          <w:b w:val="1"/>
          <w:rtl w:val="0"/>
        </w:rPr>
        <w:t xml:space="preserve">coordenação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b w:val="1"/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, para comporem </w:t>
      </w:r>
      <w:r w:rsidDel="00000000" w:rsidR="00000000" w:rsidRPr="00000000">
        <w:rPr>
          <w:b w:val="1"/>
          <w:rtl w:val="0"/>
        </w:rPr>
        <w:t xml:space="preserve">equipe de fiscalização</w:t>
      </w:r>
      <w:r w:rsidDel="00000000" w:rsidR="00000000" w:rsidRPr="00000000">
        <w:rPr>
          <w:rtl w:val="0"/>
        </w:rPr>
        <w:t xml:space="preserve"> que realizará </w:t>
      </w:r>
      <w:r w:rsidDel="00000000" w:rsidR="00000000" w:rsidRPr="00000000">
        <w:rPr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, junto à </w:t>
      </w:r>
      <w:r w:rsidDel="00000000" w:rsidR="00000000" w:rsidRPr="00000000">
        <w:rPr>
          <w:color w:val="ff0000"/>
          <w:rtl w:val="0"/>
        </w:rPr>
        <w:t xml:space="preserve">XXXXX – XXXXX</w:t>
      </w:r>
      <w:r w:rsidDel="00000000" w:rsidR="00000000" w:rsidRPr="00000000">
        <w:rPr>
          <w:rtl w:val="0"/>
        </w:rPr>
        <w:t xml:space="preserve">, com o objetivo de </w:t>
      </w:r>
      <w:r w:rsidDel="00000000" w:rsidR="00000000" w:rsidRPr="00000000">
        <w:rPr>
          <w:color w:val="ff0000"/>
          <w:rtl w:val="0"/>
        </w:rPr>
        <w:t xml:space="preserve">XXXXX XXXXX XXXXX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10">
      <w:pPr>
        <w:spacing w:after="19" w:lineRule="auto"/>
        <w:ind w:left="1402" w:hanging="1397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268" w:lineRule="auto"/>
        <w:ind w:left="0" w:right="51" w:firstLine="0"/>
        <w:rPr/>
      </w:pPr>
      <w:r w:rsidDel="00000000" w:rsidR="00000000" w:rsidRPr="00000000">
        <w:rPr>
          <w:rtl w:val="0"/>
        </w:rPr>
        <w:t xml:space="preserve">  </w:t>
        <w:tab/>
        <w:tab/>
        <w:t xml:space="preserve">Art. 2º Estabelecer a data de </w:t>
      </w:r>
      <w:r w:rsidDel="00000000" w:rsidR="00000000" w:rsidRPr="00000000">
        <w:rPr>
          <w:b w:val="1"/>
          <w:color w:val="ff0000"/>
          <w:rtl w:val="0"/>
        </w:rPr>
        <w:t xml:space="preserve">XX/XX/20XX</w:t>
      </w:r>
      <w:r w:rsidDel="00000000" w:rsidR="00000000" w:rsidRPr="00000000">
        <w:rPr>
          <w:rtl w:val="0"/>
        </w:rPr>
        <w:t xml:space="preserve"> para entrega do Relatório final de fiscalização pela equipe designada no art. 1º desta Portaria. </w:t>
      </w:r>
    </w:p>
    <w:p w:rsidR="00000000" w:rsidDel="00000000" w:rsidP="00000000" w:rsidRDefault="00000000" w:rsidRPr="00000000" w14:paraId="00000012">
      <w:pPr>
        <w:spacing w:after="22" w:lineRule="auto"/>
        <w:ind w:left="1402" w:hanging="1397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68" w:lineRule="auto"/>
        <w:ind w:left="0" w:right="51" w:firstLine="0"/>
        <w:rPr>
          <w:color w:val="000000"/>
        </w:rPr>
      </w:pPr>
      <w:r w:rsidDel="00000000" w:rsidR="00000000" w:rsidRPr="00000000">
        <w:rPr>
          <w:rtl w:val="0"/>
        </w:rPr>
        <w:t xml:space="preserve">  </w:t>
        <w:tab/>
        <w:tab/>
        <w:t xml:space="preserve">Art. 3º A fiscalização a que se refere o art. 1º desta Portaria contará com a </w:t>
      </w:r>
      <w:r w:rsidDel="00000000" w:rsidR="00000000" w:rsidRPr="00000000">
        <w:rPr>
          <w:b w:val="1"/>
          <w:rtl w:val="0"/>
        </w:rPr>
        <w:t xml:space="preserve">supervisão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0000"/>
          <w:rtl w:val="0"/>
        </w:rPr>
        <w:t xml:space="preserve">do(a) servidor(a) </w:t>
      </w:r>
      <w:r w:rsidDel="00000000" w:rsidR="00000000" w:rsidRPr="00000000">
        <w:rPr>
          <w:b w:val="1"/>
          <w:color w:val="ff0000"/>
          <w:rtl w:val="0"/>
        </w:rPr>
        <w:t xml:space="preserve">XXXXX XXXXX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e a assessoria </w:t>
      </w:r>
      <w:r w:rsidDel="00000000" w:rsidR="00000000" w:rsidRPr="00000000">
        <w:rPr>
          <w:color w:val="ff0000"/>
          <w:rtl w:val="0"/>
        </w:rPr>
        <w:t xml:space="preserve">do(a) servidor(a)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9" w:lineRule="auto"/>
        <w:ind w:left="1402" w:hanging="1397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68" w:lineRule="auto"/>
        <w:ind w:left="0" w:right="51" w:firstLine="0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000000" w:rsidDel="00000000" w:rsidP="00000000" w:rsidRDefault="00000000" w:rsidRPr="00000000" w14:paraId="00000016">
      <w:pPr>
        <w:spacing w:line="268" w:lineRule="auto"/>
        <w:ind w:left="0" w:right="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center" w:leader="none" w:pos="1402"/>
          <w:tab w:val="center" w:leader="none" w:pos="2110"/>
          <w:tab w:val="left" w:leader="none" w:pos="2835"/>
          <w:tab w:val="center" w:leader="none" w:pos="5867"/>
        </w:tabs>
        <w:spacing w:line="268" w:lineRule="auto"/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Art. 5º Esta Portaria entra em vigor na data de sua publicação. </w:t>
      </w:r>
    </w:p>
    <w:p w:rsidR="00000000" w:rsidDel="00000000" w:rsidP="00000000" w:rsidRDefault="00000000" w:rsidRPr="00000000" w14:paraId="00000018">
      <w:pPr>
        <w:spacing w:after="33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center" w:leader="none" w:pos="708"/>
          <w:tab w:val="center" w:leader="none" w:pos="3000"/>
        </w:tabs>
        <w:spacing w:after="23" w:line="259" w:lineRule="auto"/>
        <w:ind w:left="-15" w:firstLine="0"/>
        <w:jc w:val="left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 </w:t>
        <w:tab/>
        <w:t xml:space="preserve"> </w:t>
        <w:tab/>
      </w:r>
      <w:r w:rsidDel="00000000" w:rsidR="00000000" w:rsidRPr="00000000">
        <w:rPr>
          <w:b w:val="1"/>
          <w:rtl w:val="0"/>
        </w:rPr>
        <w:t xml:space="preserve">CUMPRA-SE E PUBLIQUE-SE.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9" w:line="259" w:lineRule="auto"/>
        <w:ind w:left="0" w:firstLine="0"/>
        <w:jc w:val="left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tabs>
          <w:tab w:val="center" w:leader="none" w:pos="704.9999999999999"/>
          <w:tab w:val="right" w:leader="none" w:pos="8571"/>
        </w:tabs>
        <w:ind w:left="-15" w:firstLine="0"/>
        <w:jc w:val="left"/>
        <w:rPr/>
      </w:pPr>
      <w:r w:rsidDel="00000000" w:rsidR="00000000" w:rsidRPr="00000000">
        <w:rPr>
          <w:rtl w:val="0"/>
        </w:rPr>
        <w:t xml:space="preserve"> </w:t>
        <w:tab/>
        <w:t xml:space="preserve"> </w:t>
        <w:tab/>
        <w:t xml:space="preserve">SECRETARIA DE CONTROLE EXTERNO DO TRIBUNAL DE CONTAS </w:t>
      </w:r>
    </w:p>
    <w:p w:rsidR="00000000" w:rsidDel="00000000" w:rsidP="00000000" w:rsidRDefault="00000000" w:rsidRPr="00000000" w14:paraId="0000001C">
      <w:pPr>
        <w:ind w:left="-5" w:right="49" w:firstLine="5"/>
        <w:rPr/>
      </w:pPr>
      <w:r w:rsidDel="00000000" w:rsidR="00000000" w:rsidRPr="00000000">
        <w:rPr>
          <w:rtl w:val="0"/>
        </w:rPr>
        <w:t xml:space="preserve">Do ESTADO DE GOIÁS em Goiânia aos </w:t>
      </w:r>
      <w:r w:rsidDel="00000000" w:rsidR="00000000" w:rsidRPr="00000000">
        <w:rPr>
          <w:color w:val="ff0000"/>
          <w:rtl w:val="0"/>
        </w:rPr>
        <w:t xml:space="preserve">XX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20XX</w:t>
      </w:r>
      <w:r w:rsidDel="00000000" w:rsidR="00000000" w:rsidRPr="00000000">
        <w:rPr>
          <w:rtl w:val="0"/>
        </w:rPr>
        <w:t xml:space="preserve">.  </w:t>
      </w:r>
    </w:p>
    <w:p w:rsidR="00000000" w:rsidDel="00000000" w:rsidP="00000000" w:rsidRDefault="00000000" w:rsidRPr="00000000" w14:paraId="0000001D">
      <w:pPr>
        <w:spacing w:after="19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pStyle w:val="Heading1"/>
        <w:spacing w:after="14" w:lineRule="auto"/>
        <w:ind w:left="0" w:right="65" w:firstLine="0"/>
        <w:jc w:val="center"/>
        <w:rPr/>
      </w:pPr>
      <w:r w:rsidDel="00000000" w:rsidR="00000000" w:rsidRPr="00000000">
        <w:rPr>
          <w:sz w:val="22"/>
          <w:szCs w:val="22"/>
          <w:rtl w:val="0"/>
        </w:rPr>
        <w:t xml:space="preserve">SERVIO TULIO TEIXEIRA E SILVA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3" w:line="259" w:lineRule="auto"/>
        <w:ind w:left="0" w:firstLine="0"/>
        <w:jc w:val="left"/>
        <w:rPr/>
      </w:pPr>
      <w:r w:rsidDel="00000000" w:rsidR="00000000" w:rsidRPr="00000000">
        <w:rPr>
          <w:b w:val="1"/>
          <w:rtl w:val="0"/>
        </w:rPr>
        <w:t xml:space="preserve"> </w:t>
        <w:tab/>
        <w:tab/>
        <w:tab/>
        <w:t xml:space="preserve">SECRETÁRIO DE CONTROLE EXTERNO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pgSz w:h="16838" w:w="11906" w:orient="portrait"/>
      <w:pgMar w:bottom="709" w:top="1440" w:left="1701" w:right="163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284" w:right="0" w:hanging="10"/>
      <w:jc w:val="both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inline distB="0" distT="0" distL="0" distR="0">
              <wp:extent cx="5436997" cy="6097"/>
              <wp:effectExtent b="0" l="0" r="0" t="0"/>
              <wp:docPr id="2755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627500" y="3776950"/>
                        <a:ext cx="5436997" cy="6097"/>
                        <a:chOff x="2627500" y="3776950"/>
                        <a:chExt cx="5437000" cy="9150"/>
                      </a:xfrm>
                    </wpg:grpSpPr>
                    <wpg:grpSp>
                      <wpg:cNvGrpSpPr/>
                      <wpg:grpSpPr>
                        <a:xfrm>
                          <a:off x="2627502" y="3776952"/>
                          <a:ext cx="5436997" cy="9144"/>
                          <a:chOff x="0" y="0"/>
                          <a:chExt cx="5436997" cy="91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54369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436997" cy="9144"/>
                          </a:xfrm>
                          <a:custGeom>
                            <a:rect b="b" l="l" r="r" t="t"/>
                            <a:pathLst>
                              <a:path extrusionOk="0" h="9144" w="5436997">
                                <a:moveTo>
                                  <a:pt x="0" y="0"/>
                                </a:moveTo>
                                <a:lnTo>
                                  <a:pt x="5436997" y="0"/>
                                </a:lnTo>
                                <a:lnTo>
                                  <a:pt x="5436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drawing>
            <wp:inline distB="0" distT="0" distL="0" distR="0">
              <wp:extent cx="5436997" cy="6097"/>
              <wp:effectExtent b="0" l="0" r="0" t="0"/>
              <wp:docPr id="275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6997" cy="6097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284" w:right="0" w:hanging="10"/>
      <w:jc w:val="both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Av. Ubirajara Berocan Leite, nº 640 Setor Jaó - Goiânia - Goiás - CEP: 74.674-015 </w:t>
      <w:tab/>
      <w:t xml:space="preserve">Pág. </w:t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284" w:right="0" w:hanging="1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Telefone/PABX: (62) 3228-2000 - www.tce.go.gov.br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after="0" w:line="259" w:lineRule="auto"/>
      <w:ind w:left="3452" w:firstLine="0"/>
      <w:jc w:val="left"/>
      <w:rPr/>
    </w:pPr>
    <w:r w:rsidDel="00000000" w:rsidR="00000000" w:rsidRPr="00000000">
      <w:rPr>
        <w:b w:val="1"/>
        <w:sz w:val="24"/>
        <w:szCs w:val="24"/>
        <w:rtl w:val="0"/>
      </w:rPr>
      <w:t xml:space="preserve">Tribunal de Contas do Estado de Goiás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-113078</wp:posOffset>
          </wp:positionH>
          <wp:positionV relativeFrom="paragraph">
            <wp:posOffset>-140507</wp:posOffset>
          </wp:positionV>
          <wp:extent cx="1295400" cy="704088"/>
          <wp:effectExtent b="0" l="0" r="0" t="0"/>
          <wp:wrapSquare wrapText="bothSides" distB="0" distT="0" distL="114300" distR="114300"/>
          <wp:docPr id="275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95400" cy="70408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spacing w:after="0" w:line="259" w:lineRule="auto"/>
      <w:ind w:left="2877" w:firstLine="0"/>
      <w:jc w:val="center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22">
    <w:pPr>
      <w:pStyle w:val="Heading1"/>
      <w:ind w:firstLine="3793"/>
      <w:rPr>
        <w:rFonts w:ascii="Times New Roman" w:cs="Times New Roman" w:eastAsia="Times New Roman" w:hAnsi="Times New Roman"/>
      </w:rPr>
    </w:pPr>
    <w:r w:rsidDel="00000000" w:rsidR="00000000" w:rsidRPr="00000000">
      <w:rPr>
        <w:rtl w:val="0"/>
      </w:rPr>
      <w:t xml:space="preserve">SECRETARIA DE CONTROLE EXTERNO</w:t>
    </w: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 </w:t>
    </w:r>
  </w:p>
  <w:p w:rsidR="00000000" w:rsidDel="00000000" w:rsidP="00000000" w:rsidRDefault="00000000" w:rsidRPr="00000000" w14:paraId="00000023">
    <w:pPr>
      <w:tabs>
        <w:tab w:val="center" w:leader="none" w:pos="1862"/>
        <w:tab w:val="right" w:leader="none" w:pos="8788"/>
      </w:tabs>
      <w:spacing w:after="0" w:line="259" w:lineRule="auto"/>
      <w:ind w:left="0" w:right="-216" w:firstLine="0"/>
      <w:jc w:val="left"/>
      <w:rPr/>
    </w:pPr>
    <w:r w:rsidDel="00000000" w:rsidR="00000000" w:rsidRPr="00000000">
      <w:rPr>
        <w:rFonts w:ascii="Calibri" w:cs="Calibri" w:eastAsia="Calibri" w:hAnsi="Calibri"/>
      </w:rPr>
      <mc:AlternateContent>
        <mc:Choice Requires="wpg">
          <w:drawing>
            <wp:inline distB="0" distT="0" distL="0" distR="0">
              <wp:extent cx="3941699" cy="6096"/>
              <wp:effectExtent b="0" l="0" r="0" t="0"/>
              <wp:docPr id="2756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3375150" y="3776950"/>
                        <a:ext cx="3941699" cy="6096"/>
                        <a:chOff x="3375150" y="3776950"/>
                        <a:chExt cx="3941700" cy="9150"/>
                      </a:xfrm>
                    </wpg:grpSpPr>
                    <wpg:grpSp>
                      <wpg:cNvGrpSpPr/>
                      <wpg:grpSpPr>
                        <a:xfrm>
                          <a:off x="3375151" y="3776952"/>
                          <a:ext cx="3941699" cy="9144"/>
                          <a:chOff x="0" y="0"/>
                          <a:chExt cx="3941699" cy="91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39416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0" y="0"/>
                            <a:ext cx="3941699" cy="9144"/>
                          </a:xfrm>
                          <a:custGeom>
                            <a:rect b="b" l="l" r="r" t="t"/>
                            <a:pathLst>
                              <a:path extrusionOk="0" h="9144" w="3941699">
                                <a:moveTo>
                                  <a:pt x="0" y="0"/>
                                </a:moveTo>
                                <a:lnTo>
                                  <a:pt x="3941699" y="0"/>
                                </a:lnTo>
                                <a:lnTo>
                                  <a:pt x="39416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drawing>
            <wp:inline distB="0" distT="0" distL="0" distR="0">
              <wp:extent cx="3941699" cy="6096"/>
              <wp:effectExtent b="0" l="0" r="0" t="0"/>
              <wp:docPr id="275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41699" cy="6096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after="11" w:line="267" w:lineRule="auto"/>
        <w:ind w:left="1428" w:hanging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3793" w:right="0" w:hanging="3793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1" w:line="267" w:lineRule="auto"/>
      <w:ind w:left="1428" w:hanging="10"/>
      <w:jc w:val="both"/>
    </w:pPr>
    <w:rPr>
      <w:rFonts w:ascii="Arial" w:cs="Arial" w:eastAsia="Arial" w:hAnsi="Arial"/>
      <w:color w:val="000000"/>
    </w:rPr>
  </w:style>
  <w:style w:type="paragraph" w:styleId="Ttulo1">
    <w:name w:val="heading 1"/>
    <w:next w:val="Normal"/>
    <w:link w:val="Ttulo1Char"/>
    <w:uiPriority w:val="9"/>
    <w:unhideWhenUsed w:val="1"/>
    <w:qFormat w:val="1"/>
    <w:pPr>
      <w:keepNext w:val="1"/>
      <w:keepLines w:val="1"/>
      <w:spacing w:after="0"/>
      <w:ind w:left="3793"/>
      <w:outlineLvl w:val="0"/>
    </w:pPr>
    <w:rPr>
      <w:rFonts w:ascii="Arial" w:cs="Arial" w:eastAsia="Arial" w:hAnsi="Arial"/>
      <w:color w:val="000000"/>
      <w:sz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link w:val="Ttulo1"/>
    <w:rPr>
      <w:rFonts w:ascii="Arial" w:cs="Arial" w:eastAsia="Arial" w:hAnsi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 w:val="1"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FA757D"/>
    <w:rPr>
      <w:rFonts w:ascii="Arial" w:cs="Arial" w:eastAsia="Arial" w:hAnsi="Arial"/>
      <w:color w:val="000000"/>
    </w:rPr>
  </w:style>
  <w:style w:type="paragraph" w:styleId="Rodap">
    <w:name w:val="footer"/>
    <w:basedOn w:val="Normal"/>
    <w:link w:val="RodapChar"/>
    <w:uiPriority w:val="99"/>
    <w:unhideWhenUsed w:val="1"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FA757D"/>
    <w:rPr>
      <w:rFonts w:ascii="Arial" w:cs="Arial" w:eastAsia="Arial" w:hAnsi="Arial"/>
      <w:color w:val="000000"/>
    </w:rPr>
  </w:style>
  <w:style w:type="character" w:styleId="Hyperlink">
    <w:name w:val="Hyperlink"/>
    <w:basedOn w:val="Fontepargpadro"/>
    <w:uiPriority w:val="99"/>
    <w:unhideWhenUsed w:val="1"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C25DA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noi.tce.go.gov.br/atoNormativo/Publicado?id=18504" TargetMode="External"/><Relationship Id="rId10" Type="http://schemas.openxmlformats.org/officeDocument/2006/relationships/hyperlink" Target="https://dec.tce.go.gov.br/ConsultaDiario/CarregaDocumento?documento=231402042452561" TargetMode="External"/><Relationship Id="rId13" Type="http://schemas.openxmlformats.org/officeDocument/2006/relationships/hyperlink" Target="https://gnoi.tce.go.gov.br/atoNormativo/Publicado?id=18504" TargetMode="External"/><Relationship Id="rId12" Type="http://schemas.openxmlformats.org/officeDocument/2006/relationships/hyperlink" Target="https://gnoi.tce.go.gov.br/atoNormativo/Publicado?id=1850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noi.tce.go.gov.br/atoNormativo/Publicado?id=9544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gnoi.tce.go.gov.br/atoNormativo/Publicado?id=18504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noi.tce.go.gov.br/atoNormativo/Publicado?id=16065" TargetMode="External"/><Relationship Id="rId8" Type="http://schemas.openxmlformats.org/officeDocument/2006/relationships/hyperlink" Target="https://gnoi.tce.go.gov.br/atoNormativo/Publicado?id=16065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1anLgpWgYuvnNpkEWSsFgBaLrQ==">CgMxLjAyCGguZ2pkZ3hzOAByITFuQmFUNHNLVHhoNFlra1QwR1BrcXFLelRPY3FkX3BpbA==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2024-02-28T18:25:00Z</dcterms:created>
  <dc:creator>Thayna Braga Ribeiro</dc:creator>
</cp:coreProperties>
</file>